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65" w:lineRule="atLeast"/>
        <w:jc w:val="center"/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国家综合性消防救援队伍消防员招录</w:t>
      </w:r>
    </w:p>
    <w:p>
      <w:pPr>
        <w:pStyle w:val="2"/>
        <w:keepNext w:val="0"/>
        <w:keepLines w:val="0"/>
        <w:widowControl/>
        <w:suppressLineNumbers w:val="0"/>
        <w:spacing w:line="465" w:lineRule="atLeast"/>
        <w:jc w:val="center"/>
      </w:pPr>
      <w:r>
        <w:rPr>
          <w:rFonts w:hint="default" w:ascii="方正小标宋简体" w:hAnsi="方正小标宋简体" w:eastAsia="方正小标宋简体" w:cs="方正小标宋简体"/>
          <w:sz w:val="43"/>
          <w:szCs w:val="43"/>
        </w:rPr>
        <w:t>岗位适应性测试项目及标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43"/>
          <w:szCs w:val="43"/>
        </w:rPr>
        <w:t>准（甘南州）</w:t>
      </w:r>
    </w:p>
    <w:p>
      <w:pPr>
        <w:pStyle w:val="2"/>
        <w:keepNext w:val="0"/>
        <w:keepLines w:val="0"/>
        <w:widowControl/>
        <w:suppressLineNumbers w:val="0"/>
        <w:textAlignment w:val="center"/>
      </w:pPr>
      <w:r>
        <w:rPr>
          <w:rFonts w:hint="default" w:ascii="Times New Roman" w:hAnsi="Times New Roman" w:cs="Times New Roman"/>
          <w:sz w:val="10"/>
          <w:szCs w:val="10"/>
        </w:rPr>
        <w:t> </w:t>
      </w:r>
    </w:p>
    <w:p>
      <w:pPr>
        <w:pStyle w:val="2"/>
        <w:keepNext w:val="0"/>
        <w:keepLines w:val="0"/>
        <w:widowControl/>
        <w:suppressLineNumbers w:val="0"/>
        <w:textAlignment w:val="center"/>
      </w:pPr>
      <w:r>
        <w:rPr>
          <w:rFonts w:hint="default" w:ascii="Times New Roman" w:hAnsi="Times New Roman" w:cs="Times New Roman"/>
          <w:sz w:val="10"/>
          <w:szCs w:val="10"/>
        </w:rPr>
        <w:t> </w:t>
      </w:r>
    </w:p>
    <w:p>
      <w:pPr>
        <w:pStyle w:val="2"/>
        <w:keepNext w:val="0"/>
        <w:keepLines w:val="0"/>
        <w:widowControl/>
        <w:suppressLineNumbers w:val="0"/>
        <w:textAlignment w:val="center"/>
      </w:pPr>
      <w:r>
        <w:rPr>
          <w:rFonts w:hint="default" w:ascii="Times New Roman" w:hAnsi="Times New Roman" w:cs="Times New Roman"/>
          <w:sz w:val="10"/>
          <w:szCs w:val="10"/>
        </w:rPr>
        <w:t> </w:t>
      </w:r>
    </w:p>
    <w:tbl>
      <w:tblPr>
        <w:tblW w:w="934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035"/>
        <w:gridCol w:w="3120"/>
        <w:gridCol w:w="750"/>
        <w:gridCol w:w="750"/>
        <w:gridCol w:w="750"/>
        <w:gridCol w:w="2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bdr w:val="none" w:color="auto" w:sz="0" w:space="0"/>
              </w:rPr>
              <w:t>项</w:t>
            </w:r>
            <w:r>
              <w:rPr>
                <w:rFonts w:hint="default" w:ascii="Times New Roman" w:hAnsi="Times New Roman" w:cs="Times New Roman"/>
                <w:bdr w:val="none" w:color="auto" w:sz="0" w:space="0"/>
              </w:rPr>
              <w:t xml:space="preserve">  </w:t>
            </w:r>
            <w:r>
              <w:rPr>
                <w:rFonts w:hint="eastAsia" w:ascii="黑体" w:hAnsi="宋体" w:eastAsia="黑体" w:cs="黑体"/>
                <w:bdr w:val="none" w:color="auto" w:sz="0" w:space="0"/>
              </w:rPr>
              <w:t>目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测试办法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优秀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bdr w:val="none" w:color="auto" w:sz="0" w:space="0"/>
              </w:rPr>
              <w:t>9</w:t>
            </w:r>
            <w:r>
              <w:rPr>
                <w:rFonts w:hint="eastAsia" w:ascii="黑体" w:hAnsi="宋体" w:eastAsia="黑体" w:cs="黑体"/>
                <w:bdr w:val="none" w:color="auto" w:sz="0" w:space="0"/>
              </w:rPr>
              <w:t>分）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良好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bdr w:val="none" w:color="auto" w:sz="0" w:space="0"/>
              </w:rPr>
              <w:t>8</w:t>
            </w:r>
            <w:r>
              <w:rPr>
                <w:rFonts w:hint="eastAsia" w:ascii="黑体" w:hAnsi="宋体" w:eastAsia="黑体" w:cs="黑体"/>
                <w:bdr w:val="none" w:color="auto" w:sz="0" w:space="0"/>
              </w:rPr>
              <w:t>分）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中等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</w:t>
            </w:r>
            <w:r>
              <w:rPr>
                <w:rFonts w:hint="eastAsia" w:ascii="黑体" w:hAnsi="宋体" w:eastAsia="黑体" w:cs="黑体"/>
                <w:bdr w:val="none" w:color="auto" w:sz="0" w:space="0"/>
              </w:rPr>
              <w:t>分）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一般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cs="Times New Roman"/>
                <w:bdr w:val="none" w:color="auto" w:sz="0" w:space="0"/>
              </w:rPr>
              <w:t>6</w:t>
            </w:r>
            <w:r>
              <w:rPr>
                <w:rFonts w:hint="eastAsia" w:ascii="黑体" w:hAnsi="宋体" w:eastAsia="黑体" w:cs="黑体"/>
                <w:bdr w:val="none" w:color="auto" w:sz="0" w:space="0"/>
              </w:rPr>
              <w:t>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  <w:tblCellSpacing w:w="0" w:type="dxa"/>
        </w:trPr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性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负重登六楼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 xml:space="preserve">    </w:t>
            </w:r>
            <w:r>
              <w:rPr>
                <w:rFonts w:ascii="仿宋_GB2312" w:eastAsia="仿宋_GB2312" w:cs="仿宋_GB2312"/>
                <w:bdr w:val="none" w:color="auto" w:sz="0" w:space="0"/>
              </w:rPr>
              <w:t>考生佩戴消防头盔及消防安全腰带，手提两盘</w:t>
            </w:r>
            <w:r>
              <w:rPr>
                <w:rFonts w:hint="default" w:ascii="Times New Roman" w:hAnsi="Times New Roman" w:cs="Times New Roman"/>
                <w:bdr w:val="none" w:color="auto" w:sz="0" w:space="0"/>
              </w:rPr>
              <w:t>65</w:t>
            </w:r>
            <w:r>
              <w:rPr>
                <w:rFonts w:hint="default" w:ascii="仿宋_GB2312" w:eastAsia="仿宋_GB2312" w:cs="仿宋_GB2312"/>
                <w:bdr w:val="none" w:color="auto" w:sz="0" w:space="0"/>
              </w:rPr>
              <w:t>毫米口径水带，从一楼楼梯口登至六楼楼梯口。记录时间。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1′22″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1′38″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1′49″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2′00″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  <w:tblCellSpacing w:w="0" w:type="dxa"/>
        </w:trPr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原地攀登六米拉梯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 xml:space="preserve">    </w:t>
            </w:r>
            <w:r>
              <w:rPr>
                <w:rFonts w:hint="default" w:ascii="仿宋_GB2312" w:eastAsia="仿宋_GB2312" w:cs="仿宋_GB2312"/>
                <w:bdr w:val="none" w:color="auto" w:sz="0" w:space="0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11″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16″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22″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27″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  <w:tblCellSpacing w:w="0" w:type="dxa"/>
        </w:trPr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黑暗环境搜寻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 xml:space="preserve">    </w:t>
            </w:r>
            <w:r>
              <w:rPr>
                <w:rFonts w:hint="default" w:ascii="仿宋_GB2312" w:eastAsia="仿宋_GB2312" w:cs="仿宋_GB2312"/>
                <w:bdr w:val="none" w:color="auto" w:sz="0" w:space="0"/>
              </w:rPr>
              <w:t>考生穿着全套消防员防护装具，从长度为</w:t>
            </w: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</w:t>
            </w:r>
            <w:r>
              <w:rPr>
                <w:rFonts w:hint="default" w:ascii="仿宋_GB2312" w:eastAsia="仿宋_GB2312" w:cs="仿宋_GB2312"/>
                <w:bdr w:val="none" w:color="auto" w:sz="0" w:space="0"/>
              </w:rPr>
              <w:t>米的封闭式</w:t>
            </w:r>
            <w:r>
              <w:rPr>
                <w:rFonts w:hint="default" w:ascii="Times New Roman" w:hAnsi="Times New Roman" w:cs="Times New Roman"/>
                <w:bdr w:val="none" w:color="auto" w:sz="0" w:space="0"/>
              </w:rPr>
              <w:t>L</w:t>
            </w:r>
            <w:r>
              <w:rPr>
                <w:rFonts w:hint="default" w:ascii="仿宋_GB2312" w:eastAsia="仿宋_GB2312" w:cs="仿宋_GB2312"/>
                <w:bdr w:val="none" w:color="auto" w:sz="0" w:space="0"/>
              </w:rPr>
              <w:t>型通道一侧进入，以双手双膝匍匐前进的姿势从</w:t>
            </w:r>
            <w:r>
              <w:rPr>
                <w:rFonts w:hint="default" w:ascii="Times New Roman" w:hAnsi="Times New Roman" w:cs="Times New Roman"/>
                <w:bdr w:val="none" w:color="auto" w:sz="0" w:space="0"/>
              </w:rPr>
              <w:t>L</w:t>
            </w:r>
            <w:r>
              <w:rPr>
                <w:rFonts w:hint="default" w:ascii="仿宋_GB2312" w:eastAsia="仿宋_GB2312" w:cs="仿宋_GB2312"/>
                <w:bdr w:val="none" w:color="auto" w:sz="0" w:space="0"/>
              </w:rPr>
              <w:t>型通道另一侧穿出。记录时间。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41″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44″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46″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49″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  <w:tblCellSpacing w:w="0" w:type="dxa"/>
        </w:trPr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拖拽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 xml:space="preserve">    </w:t>
            </w:r>
            <w:r>
              <w:rPr>
                <w:rFonts w:hint="default" w:ascii="仿宋_GB2312" w:eastAsia="仿宋_GB2312" w:cs="仿宋_GB2312"/>
                <w:bdr w:val="none" w:color="auto" w:sz="0" w:space="0"/>
              </w:rPr>
              <w:t>考生佩戴消防头盔及消防安全腰带，将</w:t>
            </w:r>
            <w:r>
              <w:rPr>
                <w:rFonts w:hint="default" w:ascii="Times New Roman" w:hAnsi="Times New Roman" w:cs="Times New Roman"/>
                <w:bdr w:val="none" w:color="auto" w:sz="0" w:space="0"/>
              </w:rPr>
              <w:t>60</w:t>
            </w:r>
            <w:r>
              <w:rPr>
                <w:rFonts w:hint="default" w:ascii="仿宋_GB2312" w:eastAsia="仿宋_GB2312" w:cs="仿宋_GB2312"/>
                <w:bdr w:val="none" w:color="auto" w:sz="0" w:space="0"/>
              </w:rPr>
              <w:t>公斤重的假人从起点线拖拽至距离起点线</w:t>
            </w: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10</w:t>
            </w:r>
            <w:r>
              <w:rPr>
                <w:rFonts w:hint="default" w:ascii="仿宋_GB2312" w:eastAsia="仿宋_GB2312" w:cs="仿宋_GB2312"/>
                <w:bdr w:val="none" w:color="auto" w:sz="0" w:space="0"/>
              </w:rPr>
              <w:t>米处的终点线（假人整体越过终点线）。记录时间。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13″1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14″2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15″3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16″4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bdr w:val="none" w:color="auto" w:sz="0" w:space="0"/>
              </w:rPr>
              <w:t>注</w:t>
            </w:r>
          </w:p>
        </w:tc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1.</w:t>
            </w:r>
            <w:r>
              <w:rPr>
                <w:rFonts w:hint="default" w:ascii="仿宋_GB2312" w:eastAsia="仿宋_GB2312" w:cs="仿宋_GB2312"/>
                <w:bdr w:val="none" w:color="auto" w:sz="0" w:space="0"/>
              </w:rPr>
              <w:t>任一项达不到</w:t>
            </w:r>
            <w:r>
              <w:rPr>
                <w:rFonts w:hint="default" w:ascii="Times New Roman" w:hAnsi="Times New Roman" w:cs="Times New Roman"/>
                <w:bdr w:val="none" w:color="auto" w:sz="0" w:space="0"/>
              </w:rPr>
              <w:t>“</w:t>
            </w:r>
            <w:r>
              <w:rPr>
                <w:rFonts w:hint="default" w:ascii="仿宋_GB2312" w:eastAsia="仿宋_GB2312" w:cs="仿宋_GB2312"/>
                <w:bdr w:val="none" w:color="auto" w:sz="0" w:space="0"/>
              </w:rPr>
              <w:t>一般</w:t>
            </w:r>
            <w:r>
              <w:rPr>
                <w:rFonts w:hint="default" w:ascii="Times New Roman" w:hAnsi="Times New Roman" w:cs="Times New Roman"/>
                <w:bdr w:val="none" w:color="auto" w:sz="0" w:space="0"/>
              </w:rPr>
              <w:t>”</w:t>
            </w:r>
            <w:r>
              <w:rPr>
                <w:rFonts w:hint="default" w:ascii="仿宋_GB2312" w:eastAsia="仿宋_GB2312" w:cs="仿宋_GB2312"/>
                <w:bdr w:val="none" w:color="auto" w:sz="0" w:space="0"/>
              </w:rPr>
              <w:t>标准的视为</w:t>
            </w:r>
            <w:r>
              <w:rPr>
                <w:rFonts w:hint="default" w:ascii="Times New Roman" w:hAnsi="Times New Roman" w:cs="Times New Roman"/>
                <w:bdr w:val="none" w:color="auto" w:sz="0" w:space="0"/>
              </w:rPr>
              <w:t>“</w:t>
            </w:r>
            <w:r>
              <w:rPr>
                <w:rFonts w:hint="default" w:ascii="仿宋_GB2312" w:eastAsia="仿宋_GB2312" w:cs="仿宋_GB2312"/>
                <w:bdr w:val="none" w:color="auto" w:sz="0" w:space="0"/>
              </w:rPr>
              <w:t>不合格</w:t>
            </w:r>
            <w:r>
              <w:rPr>
                <w:rFonts w:hint="default" w:ascii="Times New Roman" w:hAnsi="Times New Roman" w:cs="Times New Roman"/>
                <w:bdr w:val="none" w:color="auto" w:sz="0" w:space="0"/>
              </w:rPr>
              <w:t>”</w:t>
            </w:r>
            <w:r>
              <w:rPr>
                <w:rFonts w:hint="default" w:ascii="仿宋_GB2312" w:eastAsia="仿宋_GB2312" w:cs="仿宋_GB2312"/>
                <w:bdr w:val="none" w:color="auto" w:sz="0" w:space="0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2.</w:t>
            </w:r>
            <w:r>
              <w:rPr>
                <w:rFonts w:hint="default" w:ascii="仿宋_GB2312" w:eastAsia="仿宋_GB2312" w:cs="仿宋_GB2312"/>
                <w:bdr w:val="none" w:color="auto" w:sz="0" w:space="0"/>
              </w:rPr>
              <w:t>根据应急管理部森林消防局</w:t>
            </w: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2018</w:t>
            </w:r>
            <w:r>
              <w:rPr>
                <w:rFonts w:hint="default" w:ascii="仿宋_GB2312" w:eastAsia="仿宋_GB2312" w:cs="仿宋_GB2312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12</w:t>
            </w:r>
            <w:r>
              <w:rPr>
                <w:rFonts w:hint="default" w:ascii="仿宋_GB2312" w:eastAsia="仿宋_GB2312" w:cs="仿宋_GB2312"/>
                <w:bdr w:val="none" w:color="auto" w:sz="0" w:space="0"/>
              </w:rPr>
              <w:t>月印发《森林消防队伍教育训练大纲》规定，甘南州在原基础上标准降低</w:t>
            </w:r>
            <w:r>
              <w:rPr>
                <w:rFonts w:hint="default" w:ascii="Times New Roman" w:hAnsi="Times New Roman" w:cs="Times New Roman"/>
                <w:bdr w:val="none" w:color="auto" w:sz="0" w:space="0"/>
              </w:rPr>
              <w:t>9%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虹之间</cp:lastModifiedBy>
  <dcterms:modified xsi:type="dcterms:W3CDTF">2019-03-08T06:35:39Z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